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comments.xml" ContentType="application/vnd.openxmlformats-officedocument.wordprocessingml.comment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ascii="Arial" w:hAnsi="Arial" w:cs="Arial"/>
          <w:sz w:val="20"/>
          <w:szCs w:val="20"/>
        </w:rPr>
      </w:pPr>
      <w:r>
        <w:rPr/>
        <w:drawing>
          <wp:inline distT="0" distB="0" distL="0" distR="0">
            <wp:extent cx="749300" cy="665480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Times New Roman" w:hAnsi="Times New Roman"/>
          <w:i w:val="false"/>
          <w:i w:val="false"/>
          <w:iCs w:val="false"/>
          <w:color w:val="auto"/>
        </w:rPr>
      </w:pPr>
      <w:r>
        <w:rPr>
          <w:rFonts w:cs="Arial" w:ascii="Times New Roman" w:hAnsi="Times New Roman"/>
          <w:b/>
          <w:bCs/>
          <w:i w:val="false"/>
          <w:iCs w:val="false"/>
          <w:color w:val="auto"/>
          <w:sz w:val="20"/>
          <w:szCs w:val="20"/>
        </w:rPr>
        <w:t>MINISTÉRIO DA DEFESA</w:t>
      </w:r>
    </w:p>
    <w:p>
      <w:pPr>
        <w:pStyle w:val="Normal"/>
        <w:jc w:val="center"/>
        <w:rPr>
          <w:rFonts w:ascii="Times New Roman" w:hAnsi="Times New Roman"/>
          <w:i w:val="false"/>
          <w:i w:val="false"/>
          <w:iCs w:val="false"/>
          <w:color w:val="auto"/>
        </w:rPr>
      </w:pPr>
      <w:r>
        <w:rPr>
          <w:rFonts w:cs="Arial" w:ascii="Times New Roman" w:hAnsi="Times New Roman"/>
          <w:b/>
          <w:bCs/>
          <w:i w:val="false"/>
          <w:iCs w:val="false"/>
          <w:color w:val="auto"/>
          <w:sz w:val="20"/>
          <w:szCs w:val="20"/>
        </w:rPr>
        <w:t>EXÉRCITO BRASILEIRO</w:t>
      </w:r>
    </w:p>
    <w:p>
      <w:pPr>
        <w:pStyle w:val="Normal"/>
        <w:jc w:val="center"/>
        <w:rPr>
          <w:rFonts w:ascii="Times New Roman" w:hAnsi="Times New Roman"/>
          <w:i w:val="false"/>
          <w:i w:val="false"/>
          <w:iCs w:val="false"/>
          <w:color w:val="auto"/>
        </w:rPr>
      </w:pPr>
      <w:r>
        <w:rPr>
          <w:rFonts w:cs="Arial" w:ascii="Times New Roman" w:hAnsi="Times New Roman"/>
          <w:b/>
          <w:bCs/>
          <w:i w:val="false"/>
          <w:iCs w:val="false"/>
          <w:color w:val="auto"/>
          <w:sz w:val="20"/>
          <w:szCs w:val="20"/>
        </w:rPr>
        <w:t>COMANDO DA 12ª REGIÃO MILITAR</w:t>
      </w:r>
    </w:p>
    <w:p>
      <w:pPr>
        <w:pStyle w:val="Normal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cs="Arial"/>
          <w:b/>
          <w:b/>
          <w:bCs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i w:val="false"/>
          <w:iCs w:val="false"/>
          <w:color w:val="auto"/>
          <w:sz w:val="24"/>
          <w:szCs w:val="24"/>
        </w:rPr>
        <w:t>ANEXO III</w:t>
      </w:r>
    </w:p>
    <w:p>
      <w:pPr>
        <w:pStyle w:val="Normal"/>
        <w:jc w:val="center"/>
        <w:rPr>
          <w:rFonts w:ascii="Times New Roman" w:hAnsi="Times New Roman" w:cs="Arial"/>
          <w:b/>
          <w:b/>
          <w:bCs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ATA DE REGISTRO DE PREÇOS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Cs/>
          <w:sz w:val="24"/>
          <w:szCs w:val="24"/>
        </w:rPr>
        <w:t>N.º .........</w:t>
      </w:r>
    </w:p>
    <w:p>
      <w:pPr>
        <w:pStyle w:val="Normal"/>
        <w:widowControl w:val="false"/>
        <w:spacing w:lineRule="auto" w:line="360"/>
        <w:ind w:right="-30" w:hanging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A União, por intermédio do Comando da 12ª Região Militar, por meio da Seção de Aquisições, Licitações e Contratos (SALC), sediada na Av. Coronel Teixeira, 6155 – Ponta Negra, CEP 69037-000, Manaus-AM, neste ato representado pelo senhor Coronel ……………………….., Ordenador de Despesas, nomeado no boletim interno nº xx, de xx de xx e xxxx, considerando o julgamento da licitação na modalidade de pregão, na forma eletrônica, para REGISTRO DE PREÇOS nº 14/2023, publicada no ...... de ...../...../202....., processo administrativo n.º 64321.030260/2023-64, RESOLVE registrar os preços da(s) empresa(s) indicada(s) e qualificada(s) nesta ATA, de acordo com a classificação por ela(s) alcançada(s) e na(s) quantidade(s) cotada(s), atendendo as condições previstas no </w:t>
      </w:r>
      <w:r>
        <w:rPr>
          <w:rFonts w:cs="Arial" w:ascii="Times New Roman" w:hAnsi="Times New Roman"/>
          <w:color w:val="auto"/>
          <w:sz w:val="24"/>
          <w:szCs w:val="24"/>
        </w:rPr>
        <w:t>Edital de licitação</w:t>
      </w:r>
      <w:r>
        <w:rPr>
          <w:rFonts w:cs="Arial" w:ascii="Times New Roman" w:hAnsi="Times New Roman"/>
          <w:sz w:val="24"/>
          <w:szCs w:val="24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spacing w:before="234" w:after="234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OBJETO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presente Ata tem por objeto o registro de preços para a eventual contratação de serviço de transporte fluvial de cargas secas e frigorificadas, especificados no item 1 do Termo de Referência, anexo I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i w:val="false"/>
          <w:iCs w:val="false"/>
          <w:color w:val="auto"/>
          <w:sz w:val="24"/>
          <w:szCs w:val="24"/>
        </w:rPr>
        <w:t>do edital de Licitação nº 14/2023</w:t>
      </w:r>
      <w:r>
        <w:rPr>
          <w:rFonts w:ascii="Times New Roman" w:hAnsi="Times New Roman"/>
          <w:sz w:val="24"/>
          <w:szCs w:val="24"/>
        </w:rPr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spacing w:before="234" w:after="234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commentRangeStart w:id="0"/>
      <w:r>
        <w:rPr>
          <w:rFonts w:ascii="Times New Roman" w:hAnsi="Times New Roman"/>
          <w:sz w:val="24"/>
          <w:szCs w:val="24"/>
        </w:rPr>
        <w:t>O preço registrado</w:t>
      </w:r>
      <w:r>
        <w:rPr>
          <w:rFonts w:ascii="Times New Roman" w:hAnsi="Times New Roman"/>
          <w:sz w:val="24"/>
          <w:szCs w:val="24"/>
        </w:rPr>
      </w:r>
      <w:commentRangeEnd w:id="0"/>
      <w:r>
        <w:commentReference w:id="0"/>
      </w:r>
      <w:r>
        <w:rPr>
          <w:rFonts w:ascii="Times New Roman" w:hAnsi="Times New Roman"/>
          <w:sz w:val="24"/>
          <w:szCs w:val="24"/>
        </w:rPr>
        <w:t xml:space="preserve">, as especificações do objeto, </w:t>
      </w:r>
      <w:commentRangeStart w:id="1"/>
      <w:r>
        <w:rPr>
          <w:rFonts w:ascii="Times New Roman" w:hAnsi="Times New Roman"/>
          <w:sz w:val="24"/>
          <w:szCs w:val="24"/>
        </w:rPr>
        <w:t>as quantidades mínimas e máximas de cada item</w:t>
      </w:r>
      <w:r>
        <w:rPr>
          <w:rFonts w:ascii="Times New Roman" w:hAnsi="Times New Roman"/>
          <w:sz w:val="24"/>
          <w:szCs w:val="24"/>
        </w:rPr>
      </w:r>
      <w:commentRangeEnd w:id="1"/>
      <w:r>
        <w:commentReference w:id="1"/>
      </w:r>
      <w:r>
        <w:rPr>
          <w:rFonts w:ascii="Times New Roman" w:hAnsi="Times New Roman"/>
          <w:sz w:val="24"/>
          <w:szCs w:val="24"/>
        </w:rPr>
        <w:t xml:space="preserve">, fornecedor(es) e as demais condições ofertadas na(s) proposta(s) são as que seguem: </w:t>
      </w:r>
    </w:p>
    <w:tbl>
      <w:tblPr>
        <w:tblW w:w="9100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38"/>
        <w:gridCol w:w="3287"/>
        <w:gridCol w:w="2084"/>
        <w:gridCol w:w="1203"/>
        <w:gridCol w:w="1588"/>
      </w:tblGrid>
      <w:tr>
        <w:trPr>
          <w:trHeight w:val="791" w:hRule="atLeast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Item</w:t>
              <w:br/>
              <w:t>do</w:t>
              <w:br/>
              <w:t>TR</w:t>
            </w:r>
          </w:p>
        </w:tc>
        <w:tc>
          <w:tcPr>
            <w:tcW w:w="81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Fornecedor (razão social, CNPJ/MF, endereço, contatos, representante)</w:t>
            </w:r>
          </w:p>
        </w:tc>
      </w:tr>
      <w:tr>
        <w:trPr>
          <w:trHeight w:val="356" w:hRule="atLeast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3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Especificação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Unidade de medida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Valor Un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Valor total</w:t>
            </w:r>
          </w:p>
        </w:tc>
      </w:tr>
      <w:tr>
        <w:trPr>
          <w:trHeight w:val="356" w:hRule="atLeast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ivel2"/>
        <w:numPr>
          <w:ilvl w:val="0"/>
          <w:numId w:val="0"/>
        </w:numPr>
        <w:ind w:left="0" w:hanging="0"/>
        <w:rPr>
          <w:rFonts w:ascii="Times New Roman" w:hAnsi="Times New Roman" w:cs="Arial"/>
          <w:sz w:val="24"/>
          <w:szCs w:val="24"/>
          <w:lang w:eastAsia="en-US"/>
        </w:rPr>
      </w:pPr>
      <w:r>
        <w:rPr>
          <w:rFonts w:cs="Arial" w:ascii="Times New Roman" w:hAnsi="Times New Roman"/>
          <w:sz w:val="24"/>
          <w:szCs w:val="24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commentRangeStart w:id="2"/>
      <w:r>
        <w:rPr>
          <w:rFonts w:ascii="Times New Roman" w:hAnsi="Times New Roman"/>
          <w:sz w:val="24"/>
          <w:szCs w:val="24"/>
          <w:lang w:eastAsia="en-US"/>
        </w:rPr>
        <w:t>A listagem do cadastro de reserva referente ao presente registro de preços consta como anexo a esta Ata.</w:t>
      </w:r>
      <w:commentRangeEnd w:id="2"/>
      <w:r>
        <w:commentReference w:id="2"/>
      </w:r>
      <w:r>
        <w:rPr>
          <w:rFonts w:ascii="Times New Roman" w:hAnsi="Times New Roman"/>
          <w:sz w:val="24"/>
          <w:szCs w:val="24"/>
          <w:lang w:eastAsia="en-US"/>
        </w:rPr>
      </w:r>
    </w:p>
    <w:p>
      <w:pPr>
        <w:pStyle w:val="Nivel01"/>
        <w:numPr>
          <w:ilvl w:val="0"/>
          <w:numId w:val="1"/>
        </w:numPr>
        <w:spacing w:before="177" w:after="177"/>
        <w:ind w:left="0" w:hanging="0"/>
        <w:rPr>
          <w:rFonts w:ascii="Times New Roman" w:hAnsi="Times New Roman"/>
          <w:sz w:val="24"/>
          <w:szCs w:val="24"/>
        </w:rPr>
      </w:pPr>
      <w:commentRangeStart w:id="3"/>
      <w:commentRangeStart w:id="4"/>
      <w:r>
        <w:rPr>
          <w:rFonts w:ascii="Times New Roman" w:hAnsi="Times New Roman"/>
          <w:sz w:val="24"/>
          <w:szCs w:val="24"/>
        </w:rPr>
        <w:t>ÓRGÃO(S) GERENCIADOR E PARTICIPANTE(S)</w:t>
      </w:r>
      <w:r>
        <w:rPr>
          <w:rFonts w:ascii="Times New Roman" w:hAnsi="Times New Roman"/>
          <w:sz w:val="24"/>
          <w:szCs w:val="24"/>
        </w:rPr>
      </w:r>
      <w:commentRangeEnd w:id="4"/>
      <w:r>
        <w:commentReference w:id="4"/>
      </w:r>
      <w:commentRangeEnd w:id="3"/>
      <w:r>
        <w:commentReference w:id="3"/>
      </w:r>
      <w:r>
        <w:rPr>
          <w:rFonts w:ascii="Times New Roman" w:hAnsi="Times New Roman"/>
          <w:sz w:val="24"/>
          <w:szCs w:val="24"/>
        </w:rPr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i w:val="false"/>
          <w:iCs w:val="false"/>
          <w:color w:val="auto"/>
          <w:sz w:val="24"/>
          <w:szCs w:val="24"/>
        </w:rPr>
        <w:t>O órgão gerenciador será o Comando da 12ª Região Militar.</w:t>
      </w:r>
    </w:p>
    <w:p>
      <w:pPr>
        <w:pStyle w:val="Nvel2Red"/>
        <w:numPr>
          <w:ilvl w:val="1"/>
          <w:numId w:val="1"/>
        </w:numPr>
        <w:ind w:left="0" w:hanging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i w:val="false"/>
          <w:iCs w:val="false"/>
          <w:color w:val="auto"/>
          <w:sz w:val="24"/>
          <w:szCs w:val="24"/>
        </w:rPr>
        <w:t xml:space="preserve">Além do gerenciador, a 4ª DIVISÃO DE LEVANTAMENTO/MEX/AM (UG 160011) é o </w:t>
      </w:r>
      <w:r>
        <w:rPr>
          <w:rFonts w:ascii="Times New Roman" w:hAnsi="Times New Roman"/>
          <w:i w:val="false"/>
          <w:iCs w:val="false"/>
          <w:color w:val="000000"/>
          <w:sz w:val="24"/>
          <w:szCs w:val="24"/>
          <w:shd w:fill="FFFF00" w:val="clear"/>
        </w:rPr>
        <w:t xml:space="preserve"> </w:t>
      </w:r>
      <w:r>
        <w:rPr>
          <w:rFonts w:ascii="Times New Roman" w:hAnsi="Times New Roman"/>
          <w:i w:val="false"/>
          <w:iCs w:val="false"/>
          <w:color w:val="000000"/>
          <w:sz w:val="24"/>
          <w:szCs w:val="24"/>
          <w:shd w:fill="auto" w:val="clear"/>
        </w:rPr>
        <w:t>órgão público participante do registro de preços:</w:t>
      </w:r>
    </w:p>
    <w:tbl>
      <w:tblPr>
        <w:tblW w:w="897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244"/>
        <w:gridCol w:w="2244"/>
        <w:gridCol w:w="2245"/>
        <w:gridCol w:w="2244"/>
      </w:tblGrid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 w:val="false"/>
                <w:iCs w:val="false"/>
                <w:color w:val="auto"/>
                <w:sz w:val="24"/>
                <w:szCs w:val="24"/>
              </w:rPr>
              <w:t xml:space="preserve">Item nº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 w:val="false"/>
                <w:iCs w:val="false"/>
                <w:color w:val="auto"/>
                <w:sz w:val="24"/>
                <w:szCs w:val="24"/>
              </w:rPr>
              <w:t>Órgãos Participantes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 w:val="false"/>
                <w:iCs w:val="false"/>
                <w:color w:val="auto"/>
                <w:sz w:val="24"/>
                <w:szCs w:val="24"/>
              </w:rPr>
              <w:t>Unidade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 w:val="false"/>
                <w:iCs w:val="false"/>
                <w:color w:val="auto"/>
                <w:sz w:val="24"/>
                <w:szCs w:val="24"/>
              </w:rPr>
              <w:t>Quantidade</w:t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 w:val="false"/>
                <w:iCs w:val="false"/>
                <w:color w:val="auto"/>
                <w:sz w:val="24"/>
                <w:szCs w:val="24"/>
              </w:rPr>
              <w:t>17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vel2Red"/>
              <w:widowControl w:val="false"/>
              <w:numPr>
                <w:ilvl w:val="0"/>
                <w:numId w:val="0"/>
              </w:numPr>
              <w:spacing w:lineRule="auto" w:line="240" w:before="120" w:after="12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 w:val="false"/>
                <w:iCs w:val="false"/>
                <w:color w:val="auto"/>
                <w:sz w:val="24"/>
                <w:szCs w:val="24"/>
              </w:rPr>
              <w:t>160011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 w:val="false"/>
                <w:iCs w:val="false"/>
                <w:color w:val="auto"/>
                <w:sz w:val="24"/>
                <w:szCs w:val="24"/>
              </w:rPr>
              <w:t>kg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 w:val="false"/>
                <w:iCs w:val="false"/>
                <w:color w:val="auto"/>
                <w:sz w:val="24"/>
                <w:szCs w:val="24"/>
              </w:rPr>
              <w:t>120.000</w:t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 w:val="false"/>
                <w:iCs w:val="false"/>
                <w:color w:val="auto"/>
                <w:sz w:val="24"/>
                <w:szCs w:val="24"/>
              </w:rPr>
              <w:t>18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vel2Red"/>
              <w:widowControl w:val="false"/>
              <w:numPr>
                <w:ilvl w:val="0"/>
                <w:numId w:val="0"/>
              </w:numPr>
              <w:spacing w:lineRule="auto" w:line="240" w:before="120" w:after="12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 w:val="false"/>
                <w:iCs w:val="false"/>
                <w:color w:val="auto"/>
                <w:sz w:val="24"/>
                <w:szCs w:val="24"/>
              </w:rPr>
              <w:t>160011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 w:val="false"/>
                <w:iCs w:val="false"/>
                <w:color w:val="auto"/>
                <w:sz w:val="24"/>
                <w:szCs w:val="24"/>
              </w:rPr>
              <w:t>kg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 w:val="false"/>
                <w:iCs w:val="false"/>
                <w:color w:val="auto"/>
                <w:sz w:val="24"/>
                <w:szCs w:val="24"/>
              </w:rPr>
              <w:t>120.000</w:t>
            </w:r>
          </w:p>
        </w:tc>
      </w:tr>
    </w:tbl>
    <w:p>
      <w:pPr>
        <w:pStyle w:val="Normal"/>
        <w:numPr>
          <w:ilvl w:val="0"/>
          <w:numId w:val="0"/>
        </w:numPr>
        <w:ind w:left="360" w:hanging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Nivel01"/>
        <w:numPr>
          <w:ilvl w:val="0"/>
          <w:numId w:val="1"/>
        </w:numPr>
        <w:ind w:left="0" w:hanging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i w:val="false"/>
          <w:iCs w:val="false"/>
          <w:color w:val="auto"/>
          <w:sz w:val="24"/>
          <w:szCs w:val="24"/>
        </w:rPr>
        <w:t>DA ADESÃO À ATA DE REGISTRO DE PREÇOS (item obrigatório)</w:t>
      </w:r>
    </w:p>
    <w:p>
      <w:pPr>
        <w:pStyle w:val="Nvel2Red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commentRangeStart w:id="5"/>
      <w:r>
        <w:rPr>
          <w:rFonts w:ascii="Times New Roman" w:hAnsi="Times New Roman"/>
          <w:i w:val="false"/>
          <w:iCs w:val="false"/>
          <w:color w:val="auto"/>
          <w:sz w:val="24"/>
          <w:szCs w:val="24"/>
          <w:lang w:eastAsia="en-US"/>
        </w:rPr>
        <w:t xml:space="preserve">Não será admitida a adesão à ata de registro de preços </w:t>
      </w:r>
      <w:r>
        <w:rPr>
          <w:rFonts w:ascii="Times New Roman" w:hAnsi="Times New Roman"/>
          <w:i w:val="false"/>
          <w:iCs w:val="false"/>
          <w:color w:val="auto"/>
          <w:sz w:val="24"/>
          <w:szCs w:val="24"/>
          <w:lang w:eastAsia="en-US"/>
        </w:rPr>
      </w:r>
      <w:commentRangeEnd w:id="5"/>
      <w:r>
        <w:commentReference w:id="5"/>
      </w:r>
      <w:r>
        <w:rPr>
          <w:rFonts w:ascii="Times New Roman" w:hAnsi="Times New Roman"/>
          <w:i w:val="false"/>
          <w:iCs w:val="false"/>
          <w:color w:val="auto"/>
          <w:sz w:val="24"/>
          <w:szCs w:val="24"/>
          <w:lang w:eastAsia="en-US"/>
        </w:rPr>
        <w:t>decorrente desta licitação ou desta contratação direta, conforme justificativa apresentada nos estudos técnicos preliminares.</w:t>
      </w:r>
    </w:p>
    <w:p>
      <w:pPr>
        <w:pStyle w:val="SubTitNN"/>
        <w:spacing w:before="69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trike w:val="false"/>
          <w:dstrike w:val="false"/>
          <w:sz w:val="24"/>
          <w:szCs w:val="24"/>
        </w:rPr>
        <w:t>Vedação a acréscimo de quantitativos</w:t>
      </w:r>
    </w:p>
    <w:p>
      <w:pPr>
        <w:pStyle w:val="Nivel2"/>
        <w:numPr>
          <w:ilvl w:val="1"/>
          <w:numId w:val="1"/>
        </w:numPr>
        <w:spacing w:before="234" w:after="234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trike w:val="false"/>
          <w:dstrike w:val="false"/>
          <w:sz w:val="24"/>
          <w:szCs w:val="24"/>
        </w:rPr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spacing w:before="120" w:after="12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spacing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validade da Ata de Registro de Preços será de 1 (um) ano, contado a </w:t>
      </w:r>
      <w:commentRangeStart w:id="6"/>
      <w:r>
        <w:rPr>
          <w:rFonts w:ascii="Times New Roman" w:hAnsi="Times New Roman"/>
          <w:sz w:val="24"/>
          <w:szCs w:val="24"/>
        </w:rPr>
        <w:t>partir</w:t>
      </w:r>
      <w:r>
        <w:rPr>
          <w:rFonts w:ascii="Times New Roman" w:hAnsi="Times New Roman"/>
          <w:sz w:val="24"/>
          <w:szCs w:val="24"/>
        </w:rPr>
      </w:r>
      <w:commentRangeEnd w:id="6"/>
      <w:r>
        <w:commentReference w:id="6"/>
      </w:r>
      <w:r>
        <w:rPr>
          <w:rFonts w:ascii="Times New Roman" w:hAnsi="Times New Roman"/>
          <w:sz w:val="24"/>
          <w:szCs w:val="24"/>
        </w:rPr>
        <w:t xml:space="preserve"> do primeiro dia útil subsequente à data de divulgação no PNCP</w:t>
      </w:r>
      <w:r>
        <w:rPr>
          <w:rFonts w:ascii="Times New Roman" w:hAnsi="Times New Roman"/>
          <w:color w:val="auto"/>
          <w:sz w:val="24"/>
          <w:szCs w:val="24"/>
        </w:rPr>
        <w:t>, podendo ser prorrogada por igual período, mediante a anuência do fornecedor, desde que comprovado o preço vantajoso.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contratação com os fornecedores registrados na ata será formalizada pelo órgão ou pela en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Serão registrados na ata os preços e os quantita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vos do adjudicatário, devendo ser observada a possibilidade de o licitante oferecer ou não proposta em quantitativo inferior ao máximo previs</w:t>
      </w:r>
      <w:r>
        <w:rPr>
          <w:rFonts w:ascii="Times New Roman" w:hAnsi="Times New Roman"/>
          <w:color w:val="auto"/>
          <w:sz w:val="24"/>
          <w:szCs w:val="24"/>
        </w:rPr>
        <w:t xml:space="preserve">to 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>no edital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 se obrigar nos limites dela;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registro a que se refere o item 5.4.2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tem por obje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habilitação dos licitantes que comporão o cadastro de reserva a que se refere o item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ascii="Times New Roman" w:hAnsi="Times New Roman"/>
        </w:rPr>
        <w:instrText xml:space="preserve"> REF cadastro_reserva \r \h </w:instrText>
      </w:r>
      <w:r>
        <w:rPr>
          <w:sz w:val="24"/>
          <w:szCs w:val="24"/>
          <w:rFonts w:ascii="Times New Roman" w:hAnsi="Times New Roman"/>
        </w:rPr>
        <w:fldChar w:fldCharType="separate"/>
      </w:r>
      <w:r>
        <w:rPr>
          <w:sz w:val="24"/>
          <w:szCs w:val="24"/>
          <w:rFonts w:ascii="Times New Roman" w:hAnsi="Times New Roman"/>
        </w:rPr>
        <w:t>5.4.2.2</w:t>
      </w:r>
      <w:r>
        <w:rPr>
          <w:sz w:val="24"/>
          <w:szCs w:val="24"/>
          <w:rFonts w:ascii="Times New Roman" w:hAnsi="Times New Roman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Quando o licitante vencedor não assinar a ata de registro de preços, no prazo e nas condições estabelecidos 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>no edital;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Quando houver o cancelamento do registro do licitante ou do registro de preços nas hipóteses previstas no item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ascii="Times New Roman" w:hAnsi="Times New Roman"/>
        </w:rPr>
        <w:instrText xml:space="preserve"> REF cancelamento \r \h </w:instrText>
      </w:r>
      <w:r>
        <w:rPr>
          <w:sz w:val="24"/>
          <w:szCs w:val="24"/>
          <w:rFonts w:ascii="Times New Roman" w:hAnsi="Times New Roman"/>
        </w:rPr>
        <w:fldChar w:fldCharType="separate"/>
      </w:r>
      <w:r>
        <w:rPr>
          <w:sz w:val="24"/>
          <w:szCs w:val="24"/>
          <w:rFonts w:ascii="Times New Roman" w:hAnsi="Times New Roman"/>
        </w:rPr>
        <w:t>9</w:t>
      </w:r>
      <w:r>
        <w:rPr>
          <w:sz w:val="24"/>
          <w:szCs w:val="24"/>
          <w:rFonts w:ascii="Times New Roman" w:hAnsi="Times New Roman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Quando o convocado não assinar a ata de registro de preços no prazo e nas condições estabelecidos no edital ou no aviso de contratação, e observado o disposto no item 5.7,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hipótese de nenhum dos licitantes que trata o item 5.4.2.1, aceitar a contratação nos termos do item anterior, a Administração, observados o valor es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mado e sua eventual atualização nos termo</w:t>
      </w:r>
      <w:r>
        <w:rPr>
          <w:rFonts w:ascii="Times New Roman" w:hAnsi="Times New Roman"/>
          <w:color w:val="auto"/>
          <w:sz w:val="24"/>
          <w:szCs w:val="24"/>
        </w:rPr>
        <w:t xml:space="preserve">s 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>do edital</w:t>
      </w:r>
      <w:r>
        <w:rPr>
          <w:rFonts w:ascii="Times New Roman" w:hAnsi="Times New Roman"/>
          <w:sz w:val="24"/>
          <w:szCs w:val="24"/>
        </w:rPr>
        <w:t>, poderá: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spacing w:before="234" w:after="234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 preços registrados poderão ser alterados ou atualizados em decorrência de eventual redução dos preços pra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commentRangeStart w:id="7"/>
      <w:r>
        <w:rPr>
          <w:rFonts w:ascii="Times New Roman" w:hAnsi="Times New Roman"/>
          <w:sz w:val="24"/>
          <w:szCs w:val="24"/>
        </w:rPr>
        <w:t xml:space="preserve">m caso de força maior, caso fortuito ou fato do príncipe ou em decorrência de fatos imprevisíveis ou previsíveis de consequências incalculáveis, que inviabilizem a execução da ata </w:t>
      </w:r>
      <w:r>
        <w:rPr>
          <w:rFonts w:ascii="Times New Roman" w:hAnsi="Times New Roman"/>
          <w:color w:val="auto"/>
          <w:sz w:val="24"/>
          <w:szCs w:val="24"/>
        </w:rPr>
        <w:t>tal como pactuada, nos termos da alínea “d” do inciso II do caput do art. 124 da Lei nº 14.133, de 2021</w:t>
      </w:r>
      <w:r>
        <w:rPr>
          <w:rFonts w:ascii="Times New Roman" w:hAnsi="Times New Roman"/>
          <w:color w:val="auto"/>
          <w:sz w:val="24"/>
          <w:szCs w:val="24"/>
        </w:rPr>
      </w:r>
      <w:commentRangeEnd w:id="7"/>
      <w:r>
        <w:commentReference w:id="7"/>
      </w:r>
      <w:r>
        <w:rPr>
          <w:rFonts w:ascii="Times New Roman" w:hAnsi="Times New Roman"/>
          <w:color w:val="auto"/>
          <w:sz w:val="24"/>
          <w:szCs w:val="24"/>
        </w:rPr>
        <w:t>;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 caso de criação, alteração ou ex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 caso do reajustamento, deverá ser respeitada a contagem da anualidade e o índice previstos para a contratação;</w:t>
      </w:r>
    </w:p>
    <w:p>
      <w:pPr>
        <w:pStyle w:val="Nvel4"/>
        <w:numPr>
          <w:ilvl w:val="3"/>
          <w:numId w:val="1"/>
        </w:numPr>
        <w:ind w:left="567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spacing w:before="234" w:after="234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hipótese de o preço registrado tornar-se superior ao preço pra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cado no mercado por mo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vo superveniente, o órgão ou en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Caso não aceite reduzir seu preço aos valores pra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hipótese prevista no item anterior, o gerenciador convocará os fornecedores do cadastro de reserva, na ordem de classificação, para verificar se aceitam reduzir seus preços aos valores de mercado e não convocará o</w:t>
      </w:r>
      <w:commentRangeStart w:id="8"/>
      <w:r>
        <w:rPr>
          <w:rFonts w:ascii="Times New Roman" w:hAnsi="Times New Roman"/>
          <w:sz w:val="24"/>
          <w:szCs w:val="24"/>
        </w:rPr>
        <w:t>s licitantes ou fornecedores que tiveram seu registro cancelado.</w:t>
      </w:r>
      <w:r>
        <w:rPr>
          <w:rFonts w:ascii="Times New Roman" w:hAnsi="Times New Roman"/>
          <w:sz w:val="24"/>
          <w:szCs w:val="24"/>
        </w:rPr>
      </w:r>
      <w:commentRangeEnd w:id="8"/>
      <w:r>
        <w:commentReference w:id="8"/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 não obtiver êxito nas negociações, o órgão ou en</w:t>
      </w:r>
      <w:r>
        <w:rPr>
          <w:rFonts w:eastAsia="Calibri" w:ascii="Times New Roman" w:hAnsi="Times New Roman"/>
          <w:sz w:val="24"/>
          <w:szCs w:val="24"/>
        </w:rPr>
        <w:t>tid</w:t>
      </w:r>
      <w:r>
        <w:rPr>
          <w:rFonts w:ascii="Times New Roman" w:hAnsi="Times New Roman"/>
          <w:sz w:val="24"/>
          <w:szCs w:val="24"/>
        </w:rP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cs="Calibri" w:ascii="Times New Roman" w:hAnsi="Times New Roman"/>
          <w:sz w:val="24"/>
          <w:szCs w:val="24"/>
        </w:rPr>
        <w:t>Na hipótese de</w:t>
      </w:r>
      <w:r>
        <w:rPr>
          <w:rFonts w:ascii="Times New Roman" w:hAnsi="Times New Roman"/>
          <w:sz w:val="24"/>
          <w:szCs w:val="24"/>
        </w:rPr>
        <w:t xml:space="preserve"> redução do preço registrado, o gerenciador comunicará aos órgãos e às en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 xml:space="preserve">dades que 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Não hipótese de não comprovação da existência de fato superveniente que inviabilize o preço registrado, o pedido será indeferido pelo órgão ou en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 xml:space="preserve">dade gerenciadora e o fornecedor deverá cumprir as obrigações estabelecidas na ata, sob pena de cancelamento do seu registro, nos termos do item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ascii="Times New Roman" w:hAnsi="Times New Roman"/>
        </w:rPr>
        <w:instrText xml:space="preserve"> REF cancelamento_do_fornecedor \r \h </w:instrText>
      </w:r>
      <w:r>
        <w:rPr>
          <w:sz w:val="24"/>
          <w:szCs w:val="24"/>
          <w:rFonts w:ascii="Times New Roman" w:hAnsi="Times New Roman"/>
        </w:rPr>
        <w:fldChar w:fldCharType="separate"/>
      </w:r>
      <w:r>
        <w:rPr>
          <w:sz w:val="24"/>
          <w:szCs w:val="24"/>
          <w:rFonts w:ascii="Times New Roman" w:hAnsi="Times New Roman"/>
        </w:rPr>
        <w:t>9.1</w:t>
      </w:r>
      <w:r>
        <w:rPr>
          <w:sz w:val="24"/>
          <w:szCs w:val="24"/>
          <w:rFonts w:ascii="Times New Roman" w:hAnsi="Times New Roman"/>
        </w:rPr>
        <w:fldChar w:fldCharType="end"/>
      </w:r>
      <w:r>
        <w:rPr>
          <w:rFonts w:ascii="Times New Roman" w:hAnsi="Times New Roman"/>
          <w:sz w:val="24"/>
          <w:szCs w:val="24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ascii="Times New Roman" w:hAnsi="Times New Roman"/>
        </w:rPr>
        <w:instrText xml:space="preserve"> REF cancelamento_da_ata \r \h </w:instrText>
      </w:r>
      <w:r>
        <w:rPr>
          <w:sz w:val="24"/>
          <w:szCs w:val="24"/>
          <w:rFonts w:ascii="Times New Roman" w:hAnsi="Times New Roman"/>
        </w:rPr>
        <w:fldChar w:fldCharType="separate"/>
      </w:r>
      <w:r>
        <w:rPr>
          <w:sz w:val="24"/>
          <w:szCs w:val="24"/>
          <w:rFonts w:ascii="Times New Roman" w:hAnsi="Times New Roman"/>
        </w:rPr>
        <w:t>9.4</w:t>
      </w:r>
      <w:r>
        <w:rPr>
          <w:sz w:val="24"/>
          <w:szCs w:val="24"/>
          <w:rFonts w:ascii="Times New Roman" w:hAnsi="Times New Roman"/>
        </w:rPr>
        <w:fldChar w:fldCharType="end"/>
      </w:r>
      <w:r>
        <w:rPr>
          <w:rFonts w:ascii="Times New Roman" w:hAnsi="Times New Roman"/>
          <w:sz w:val="24"/>
          <w:szCs w:val="24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hipótese de comprovação da majoração do preço de mercado que inviabilize o preço registrado, conforme previsto no item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ascii="Times New Roman" w:hAnsi="Times New Roman"/>
        </w:rPr>
        <w:instrText xml:space="preserve"> REF hipotese_preco_mercado_maior \r \h </w:instrText>
      </w:r>
      <w:r>
        <w:rPr>
          <w:sz w:val="24"/>
          <w:szCs w:val="24"/>
          <w:rFonts w:ascii="Times New Roman" w:hAnsi="Times New Roman"/>
        </w:rPr>
        <w:fldChar w:fldCharType="separate"/>
      </w:r>
      <w:r>
        <w:rPr>
          <w:sz w:val="24"/>
          <w:szCs w:val="24"/>
          <w:rFonts w:ascii="Times New Roman" w:hAnsi="Times New Roman"/>
        </w:rPr>
        <w:t>7.2</w:t>
      </w:r>
      <w:r>
        <w:rPr>
          <w:sz w:val="24"/>
          <w:szCs w:val="24"/>
          <w:rFonts w:ascii="Times New Roman" w:hAnsi="Times New Roman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e no item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ascii="Times New Roman" w:hAnsi="Times New Roman"/>
        </w:rPr>
        <w:instrText xml:space="preserve"> REF prova_preco_mercado_maior \r \h </w:instrText>
      </w:r>
      <w:r>
        <w:rPr>
          <w:sz w:val="24"/>
          <w:szCs w:val="24"/>
          <w:rFonts w:ascii="Times New Roman" w:hAnsi="Times New Roman"/>
        </w:rPr>
        <w:fldChar w:fldCharType="separate"/>
      </w:r>
      <w:r>
        <w:rPr>
          <w:sz w:val="24"/>
          <w:szCs w:val="24"/>
          <w:rFonts w:ascii="Times New Roman" w:hAnsi="Times New Roman"/>
        </w:rPr>
        <w:t>7.2.1</w:t>
      </w:r>
      <w:r>
        <w:rPr>
          <w:sz w:val="24"/>
          <w:szCs w:val="24"/>
          <w:rFonts w:ascii="Times New Roman" w:hAnsi="Times New Roman"/>
        </w:rPr>
        <w:fldChar w:fldCharType="end"/>
      </w:r>
      <w:r>
        <w:rPr>
          <w:rFonts w:ascii="Times New Roman" w:hAnsi="Times New Roman"/>
          <w:sz w:val="24"/>
          <w:szCs w:val="24"/>
        </w:rPr>
        <w:t>, o órgão ou en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 órgão ou en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gerenciadora comunicará aos órgãos e às en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 xml:space="preserve">dades que 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verem firmado contratos decorrentes da ata de registro de preços sobre a efe</w:t>
      </w:r>
      <w:r>
        <w:rPr>
          <w:rFonts w:eastAsia="Calibri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spacing w:before="234" w:after="234"/>
        <w:ind w:left="0" w:hanging="0"/>
        <w:rPr>
          <w:rFonts w:ascii="Times New Roman" w:hAnsi="Times New Roman"/>
          <w:sz w:val="24"/>
          <w:szCs w:val="24"/>
        </w:rPr>
      </w:pPr>
      <w:commentRangeStart w:id="9"/>
      <w:r>
        <w:rPr>
          <w:rFonts w:ascii="Times New Roman" w:hAnsi="Times New Roman"/>
          <w:sz w:val="24"/>
          <w:szCs w:val="24"/>
        </w:rPr>
        <w:t>REMANEJAMENTO DAS QUANTIDADES REGISTRADAS NA ATA DE REGISTRO DE PREÇOS</w:t>
      </w:r>
      <w:commentRangeEnd w:id="9"/>
      <w:r>
        <w:commentReference w:id="9"/>
      </w:r>
      <w:r>
        <w:rPr>
          <w:rFonts w:ascii="Times New Roman" w:hAnsi="Times New Roman"/>
          <w:sz w:val="24"/>
          <w:szCs w:val="24"/>
        </w:rPr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As quan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dades previstas para os itens com preços registrados nas atas de registro de preços poderão ser remanejadas pelo órgão ou en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gerenciadora entre os órgãos ou as en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dades par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cipantes e não par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 remanejamento somente poderá ser feito: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 órgão ou en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par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cipante para órgão ou en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par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cipante;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 órgão ou en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par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órgão ou en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gerenciadora que tiver es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mado as quan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hipótese de remanejamento de órgão ou entidade par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 xml:space="preserve">cipante para órgão ou entidade não participante, serão observados os limites previstos no </w:t>
      </w:r>
      <w:commentRangeStart w:id="10"/>
      <w:r>
        <w:rPr>
          <w:rFonts w:ascii="Times New Roman" w:hAnsi="Times New Roman"/>
          <w:sz w:val="24"/>
          <w:szCs w:val="24"/>
        </w:rPr>
        <w:t>art. 32 do Decreto nº 11.462, de 2023</w:t>
      </w:r>
      <w:r>
        <w:rPr>
          <w:rFonts w:ascii="Times New Roman" w:hAnsi="Times New Roman"/>
          <w:sz w:val="24"/>
          <w:szCs w:val="24"/>
        </w:rPr>
      </w:r>
      <w:commentRangeEnd w:id="10"/>
      <w:r>
        <w:commentReference w:id="10"/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Competirá ao órgão ou à en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gerenciadora autorizar o remanejamento solicitado, com a redução do quan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ta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vo inicialmente informado pelo órgão ou pela en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par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cipante, desde que haja prévia anuência do órgão ou da en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Caso o remanejamento seja feito entre órgãos ou en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dades dos Estados, do Distrito Federal ou de Municípios dis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hipótese da compra centralizada, não havendo indicação pelo órgão ou pela en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dade gerenciadora, dos quan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ta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vos dos par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 xml:space="preserve">cipantes da compra centralizada, nos termos do item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ascii="Times New Roman" w:hAnsi="Times New Roman"/>
        </w:rPr>
        <w:instrText xml:space="preserve"> REF gerenciador_estimador_é_partic_em_remane \r \h </w:instrText>
      </w:r>
      <w:r>
        <w:rPr>
          <w:sz w:val="24"/>
          <w:szCs w:val="24"/>
          <w:rFonts w:ascii="Times New Roman" w:hAnsi="Times New Roman"/>
        </w:rPr>
        <w:fldChar w:fldCharType="separate"/>
      </w:r>
      <w:r>
        <w:rPr>
          <w:sz w:val="24"/>
          <w:szCs w:val="24"/>
          <w:rFonts w:ascii="Times New Roman" w:hAnsi="Times New Roman"/>
        </w:rPr>
        <w:t>8.3</w:t>
      </w:r>
      <w:r>
        <w:rPr>
          <w:sz w:val="24"/>
          <w:szCs w:val="24"/>
          <w:rFonts w:ascii="Times New Roman" w:hAnsi="Times New Roman"/>
        </w:rPr>
        <w:fldChar w:fldCharType="end"/>
      </w:r>
      <w:r>
        <w:rPr>
          <w:rFonts w:ascii="Times New Roman" w:hAnsi="Times New Roman"/>
          <w:sz w:val="24"/>
          <w:szCs w:val="24"/>
        </w:rPr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spacing w:before="234" w:after="234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Não re</w:t>
      </w:r>
      <w:r>
        <w:rPr>
          <w:rFonts w:eastAsia="Arial"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 cancelamento de registros nas hipóteses previstas no item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ascii="Times New Roman" w:hAnsi="Times New Roman"/>
        </w:rPr>
        <w:instrText xml:space="preserve"> REF cancelamento_do_fornecedor \r \h </w:instrText>
      </w:r>
      <w:r>
        <w:rPr>
          <w:sz w:val="24"/>
          <w:szCs w:val="24"/>
          <w:rFonts w:ascii="Times New Roman" w:hAnsi="Times New Roman"/>
        </w:rPr>
        <w:fldChar w:fldCharType="separate"/>
      </w:r>
      <w:r>
        <w:rPr>
          <w:sz w:val="24"/>
          <w:szCs w:val="24"/>
          <w:rFonts w:ascii="Times New Roman" w:hAnsi="Times New Roman"/>
        </w:rPr>
        <w:t>9.1</w:t>
      </w:r>
      <w:r>
        <w:rPr>
          <w:sz w:val="24"/>
          <w:szCs w:val="24"/>
          <w:rFonts w:ascii="Times New Roman" w:hAnsi="Times New Roman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Por razão de interesse público;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 não houver êxito nas negociações, nas hipóteses em que o preço de mercado tornar-se superior ou inferior ao preço registrado, nos termos dos artigos 26, § 3º e 27, § 4º, ambos do Decreto nº 11.462, de 2023. </w:t>
      </w:r>
    </w:p>
    <w:p>
      <w:pPr>
        <w:pStyle w:val="Nivel01"/>
        <w:numPr>
          <w:ilvl w:val="0"/>
          <w:numId w:val="1"/>
        </w:numPr>
        <w:spacing w:before="234" w:after="234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DAS PENALIDADES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de</w:t>
      </w:r>
      <w:r>
        <w:rPr>
          <w:rFonts w:ascii="Times New Roman" w:hAnsi="Times New Roman"/>
          <w:color w:val="auto"/>
          <w:sz w:val="24"/>
          <w:szCs w:val="24"/>
        </w:rPr>
        <w:t xml:space="preserve">scumprimento da Ata de Registro de Preços ensejará aplicação das penalidades estabelecidas </w:t>
      </w:r>
      <w:r>
        <w:rPr>
          <w:rFonts w:ascii="Times New Roman" w:hAnsi="Times New Roman"/>
          <w:i/>
          <w:color w:val="auto"/>
          <w:sz w:val="24"/>
          <w:szCs w:val="24"/>
        </w:rPr>
        <w:t>no edital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sanções também se aplicam aos integrantes do cadastro de reserva no registro de preços que, convocados, não honrarem o compromisso assumido </w:t>
      </w:r>
      <w:commentRangeStart w:id="11"/>
      <w:r>
        <w:rPr>
          <w:rFonts w:ascii="Times New Roman" w:hAnsi="Times New Roman"/>
          <w:sz w:val="24"/>
          <w:szCs w:val="24"/>
        </w:rPr>
        <w:t>injustificadamente</w:t>
      </w:r>
      <w:r>
        <w:rPr>
          <w:rFonts w:ascii="Times New Roman" w:hAnsi="Times New Roman"/>
          <w:sz w:val="24"/>
          <w:szCs w:val="24"/>
        </w:rPr>
      </w:r>
      <w:commentRangeEnd w:id="11"/>
      <w:r>
        <w:commentReference w:id="11"/>
      </w:r>
      <w:r>
        <w:rPr>
          <w:rFonts w:ascii="Times New Roman" w:hAnsi="Times New Roman"/>
          <w:sz w:val="24"/>
          <w:szCs w:val="24"/>
        </w:rPr>
        <w:t xml:space="preserve"> após terem assinado a ata. 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spacing w:before="348" w:after="348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CONDIÇÕES GERAIS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condições gerais de execução do objeto, tais como os prazos para entrega e recebimento, </w:t>
      </w:r>
      <w:r>
        <w:rPr>
          <w:rFonts w:ascii="Times New Roman" w:hAnsi="Times New Roman"/>
          <w:color w:val="auto"/>
          <w:sz w:val="24"/>
          <w:szCs w:val="24"/>
        </w:rPr>
        <w:t>as obrigações da Administração e do fornecedor registrado, penalidades e demais condições do ajuste, encontram-se definidos no Termo de Referência, ANEXO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auto"/>
          <w:sz w:val="24"/>
          <w:szCs w:val="24"/>
        </w:rPr>
        <w:t>AO EDITAL</w:t>
      </w:r>
      <w:r>
        <w:rPr>
          <w:rFonts w:ascii="Times New Roman" w:hAnsi="Times New Roman"/>
          <w:strike/>
          <w:color w:val="auto"/>
          <w:sz w:val="24"/>
          <w:szCs w:val="24"/>
        </w:rPr>
        <w:t>.</w:t>
      </w:r>
    </w:p>
    <w:p>
      <w:pPr>
        <w:pStyle w:val="Nvel2Red"/>
        <w:numPr>
          <w:ilvl w:val="1"/>
          <w:numId w:val="1"/>
        </w:numPr>
        <w:ind w:left="0" w:hanging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Para firmeza e validade do pactuado, a presente Ata foi lavrada e</w:t>
      </w:r>
      <w:r>
        <w:rPr>
          <w:rFonts w:cs="Arial" w:ascii="Times New Roman" w:hAnsi="Times New Roman"/>
          <w:color w:val="auto"/>
          <w:sz w:val="24"/>
          <w:szCs w:val="24"/>
        </w:rPr>
        <w:t>m 2 (duas)</w:t>
      </w:r>
      <w:r>
        <w:rPr>
          <w:rFonts w:cs="Arial" w:ascii="Times New Roman" w:hAnsi="Times New Roman"/>
          <w:sz w:val="24"/>
          <w:szCs w:val="24"/>
        </w:rPr>
        <w:t xml:space="preserve"> vias de igual teor, que, depois de lida e achada em ordem, vai assinada pelas partes </w:t>
      </w:r>
      <w:r>
        <w:rPr>
          <w:rFonts w:cs="Arial" w:ascii="Times New Roman" w:hAnsi="Times New Roman"/>
          <w:i/>
          <w:iCs/>
          <w:color w:val="auto"/>
          <w:sz w:val="24"/>
          <w:szCs w:val="24"/>
        </w:rPr>
        <w:t>e encaminhada cópia aos demais órgãos participantes.</w:t>
      </w:r>
      <w:r>
        <w:rPr>
          <w:rFonts w:cs="Arial" w:ascii="Times New Roman" w:hAnsi="Times New Roman"/>
          <w:i/>
          <w:iCs/>
          <w:color w:val="FF0000"/>
          <w:sz w:val="24"/>
          <w:szCs w:val="24"/>
        </w:rPr>
        <w:t xml:space="preserve">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Local e data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Assinaturas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Representante legal do órgão gerenciador e representante(s) legal(is) do(s) </w:t>
      </w:r>
      <w:r>
        <w:rPr>
          <w:rFonts w:cs="Arial" w:ascii="Times New Roman" w:hAnsi="Times New Roman"/>
          <w:color w:val="000000"/>
          <w:sz w:val="24"/>
          <w:szCs w:val="24"/>
        </w:rPr>
        <w:t>fornecedor(s) registrado(s)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commentRangeStart w:id="12"/>
      <w:r>
        <w:rPr>
          <w:rFonts w:cs="Arial" w:ascii="Times New Roman" w:hAnsi="Times New Roman"/>
          <w:color w:val="000000"/>
          <w:sz w:val="24"/>
          <w:szCs w:val="24"/>
        </w:rPr>
        <w:t>Anexo</w:t>
      </w:r>
      <w:commentRangeEnd w:id="12"/>
      <w:r>
        <w:commentReference w:id="12"/>
      </w: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>Cadastro Reserva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 xml:space="preserve">Fornecedor </w:t>
            </w:r>
            <w:r>
              <w:rPr>
                <w:rFonts w:cs="Arial" w:ascii="Times New Roman" w:hAnsi="Times New Roman"/>
                <w:i/>
                <w:color w:val="FF0000"/>
                <w:sz w:val="24"/>
                <w:szCs w:val="24"/>
              </w:rPr>
              <w:t>(razão social, CNPJ/MF, endereço, contatos, representante)</w:t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95"/>
        <w:gridCol w:w="11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 xml:space="preserve">Fornecedor </w:t>
            </w:r>
            <w:r>
              <w:rPr>
                <w:rFonts w:cs="Arial" w:ascii="Times New Roman" w:hAnsi="Times New Roman"/>
                <w:i/>
                <w:color w:val="FF0000"/>
                <w:sz w:val="24"/>
                <w:szCs w:val="24"/>
              </w:rPr>
              <w:t>(razão social, CNPJ/MF, endereço, contatos, representante)</w:t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1906" w:h="16838"/>
      <w:pgMar w:left="1022" w:right="1134" w:gutter="0" w:header="0" w:top="1418" w:footer="0" w:bottom="708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or" w:date="0-00-00T00:00:00Z" w:initials="A">
    <w:p>
      <w:r>
        <w:rPr>
          <w:rFonts w:ascii="Liberation Serif" w:hAnsi="Liberation Serif" w:eastAsia="Segoe UI"/>
          <w:b/>
          <w:color w:val="000000"/>
          <w:lang w:val="en-US" w:eastAsia="en-US" w:bidi="en-US"/>
        </w:rPr>
        <w:t>Nota Explicativa:</w:t>
      </w:r>
      <w:r>
        <w:rPr>
          <w:rFonts w:ascii="Liberation Serif" w:hAnsi="Liberation Serif" w:eastAsia="Segoe UI"/>
          <w:color w:val="000000"/>
          <w:lang w:val="en-US" w:eastAsia="en-US" w:bidi="en-US"/>
        </w:rPr>
        <w:t xml:space="preserve"> </w:t>
      </w:r>
      <w:r>
        <w:rPr>
          <w:rFonts w:ascii="Liberation Serif" w:hAnsi="Liberation Serif" w:eastAsia="Segoe UI"/>
          <w:i/>
          <w:iCs/>
          <w:color w:val="000000"/>
          <w:lang w:val="en-US" w:eastAsia="en-US" w:bidi="en-US"/>
        </w:rPr>
        <w:t>O preço registrado, com a indicação dos fornecedores, será divulgado no PNCP e disponibilizado durante a vigência da ata de registro de preços</w:t>
      </w:r>
      <w:r>
        <w:rPr>
          <w:rFonts w:ascii="Liberation Serif" w:hAnsi="Liberation Serif" w:eastAsia="Segoe UI"/>
          <w:color w:val="000000"/>
          <w:lang w:val="en-US" w:eastAsia="en-US" w:bidi="en-US"/>
        </w:rPr>
        <w:t>. (§ 4º, art. 18 do Decreto Nº11.462, de 2023.)</w:t>
      </w:r>
    </w:p>
  </w:comment>
  <w:comment w:id="1" w:author="Autor" w:date="0-00-00T00:00:00Z" w:initials="A">
    <w:p>
      <w:r>
        <w:rPr>
          <w:rFonts w:ascii="Liberation Serif" w:hAnsi="Liberation Serif" w:eastAsia="Segoe UI"/>
          <w:b/>
          <w:lang w:val="en-US" w:eastAsia="en-US" w:bidi="en-US"/>
        </w:rPr>
        <w:t>Nota Explicativa</w:t>
      </w:r>
      <w:r>
        <w:rPr>
          <w:rFonts w:ascii="Liberation Serif" w:hAnsi="Liberation Serif" w:eastAsia="Segoe UI"/>
          <w:lang w:val="en-US" w:eastAsia="en-US" w:bidi="en-US"/>
        </w:rPr>
        <w:t>. No artigo 82, § 3º, da Lei 14.133, permite-se o registro de preços com indicação limitada a unidades de contratação,</w:t>
      </w:r>
      <w:r>
        <w:rPr>
          <w:rFonts w:ascii="Liberation Serif" w:hAnsi="Liberation Serif" w:eastAsia="Segoe UI"/>
          <w:b/>
          <w:bCs/>
          <w:lang w:val="en-US" w:eastAsia="en-US" w:bidi="en-US"/>
        </w:rPr>
        <w:t xml:space="preserve"> sem indicação do total a ser adquirido</w:t>
      </w:r>
      <w:r>
        <w:rPr>
          <w:rFonts w:ascii="Liberation Serif" w:hAnsi="Liberation Serif" w:eastAsia="Segoe UI"/>
          <w:lang w:val="en-US" w:eastAsia="en-US" w:bidi="en-US"/>
        </w:rPr>
        <w:t>, apenas nas seguintes situações:</w:t>
      </w:r>
    </w:p>
    <w:p>
      <w:r>
        <w:rPr>
          <w:rFonts w:ascii="Liberation Serif" w:hAnsi="Liberation Serif" w:eastAsia="Segoe UI"/>
          <w:lang w:val="en-US" w:eastAsia="en-US" w:bidi="en-US"/>
        </w:rPr>
        <w:t>I - quando for a primeira licitação para o objeto e o órgão ou entidade não tiver registro de demandas anteriores;</w:t>
      </w:r>
    </w:p>
    <w:p>
      <w:r>
        <w:rPr>
          <w:rFonts w:ascii="Liberation Serif" w:hAnsi="Liberation Serif" w:eastAsia="Segoe UI"/>
          <w:lang w:val="en-US" w:eastAsia="en-US" w:bidi="en-US"/>
        </w:rPr>
        <w:t>II - no caso de alimento perecível;</w:t>
      </w:r>
    </w:p>
    <w:p>
      <w:r>
        <w:rPr>
          <w:rFonts w:ascii="Liberation Serif" w:hAnsi="Liberation Serif" w:eastAsia="Segoe UI"/>
          <w:lang w:val="en-US" w:eastAsia="en-US" w:bidi="en-US"/>
        </w:rPr>
        <w:t>III - no caso em que o serviço estiver integrado ao fornecimento de bens.</w:t>
      </w:r>
    </w:p>
    <w:p>
      <w:r>
        <w:rPr>
          <w:rFonts w:ascii="Liberation Serif" w:hAnsi="Liberation Serif" w:eastAsia="Segoe UI"/>
          <w:lang w:val="en-US" w:eastAsia="en-US" w:bidi="en-US"/>
        </w:rPr>
        <w:t>Nessas situações, é obrigatória a indicação do valor máximo da despesa e é vedada a participação de outro órgão ou entidade na ata.</w:t>
      </w:r>
    </w:p>
    <w:p>
      <w:r>
        <w:rPr>
          <w:rFonts w:ascii="Liberation Serif" w:hAnsi="Liberation Serif" w:eastAsia="Segoe UI"/>
          <w:lang w:val="en-US" w:eastAsia="en-US" w:bidi="en-US"/>
        </w:rPr>
        <w:t>O artigo 4º do Decreto 11.462, de 31/3/2023, possui a mesma redação da lei.</w:t>
      </w:r>
    </w:p>
  </w:comment>
  <w:comment w:id="2" w:author="Autor" w:date="0-00-00T00:00:00Z" w:initials="A">
    <w:p>
      <w:r>
        <w:rPr>
          <w:rFonts w:ascii="Liberation Serif" w:hAnsi="Liberation Serif" w:eastAsia="Segoe UI"/>
          <w:b/>
          <w:color w:val="000000"/>
          <w:lang w:val="en-US" w:eastAsia="en-US" w:bidi="en-US"/>
        </w:rPr>
        <w:t>Nota Explicativa</w:t>
      </w:r>
      <w:r>
        <w:rPr>
          <w:rFonts w:ascii="Liberation Serif" w:hAnsi="Liberation Serif" w:eastAsia="Segoe UI"/>
          <w:color w:val="000000"/>
          <w:lang w:val="en-US" w:eastAsia="en-US" w:bidi="en-US"/>
        </w:rPr>
        <w:t>: A listagem deve obedecer a ordem prevista no inciso II e § 2º do art. 18 do Decreto nº 11.462, de 2023.</w:t>
      </w:r>
    </w:p>
  </w:comment>
  <w:comment w:id="4" w:author="Autor" w:date="0-00-00T00:00:00Z" w:initials="A">
    <w:p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3" w:author="Autor" w:date="0-00-00T00:00:00Z" w:initials="A">
    <w:p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Não será permitida participação de outro órgão ou entidade quando não houver indicação dos quantitativos totais a ser contratados, na forma do art. 4º e parágrafo único do Decreto nº 11.462/2023.</w:t>
      </w:r>
    </w:p>
  </w:comment>
  <w:comment w:id="5" w:author="Autor" w:date="0-00-00T00:00:00Z" w:initials="A">
    <w:p>
      <w:r>
        <w:rPr>
          <w:rFonts w:ascii="Liberation Serif" w:hAnsi="Liberation Serif" w:eastAsia="Segoe UI"/>
          <w:b/>
          <w:lang w:val="en-US" w:eastAsia="en-US" w:bidi="en-US"/>
        </w:rPr>
        <w:t>Nota Explicativa</w:t>
      </w:r>
      <w:r>
        <w:rPr>
          <w:rFonts w:ascii="Liberation Serif" w:hAnsi="Liberation Serif" w:eastAsia="Segoe UI"/>
          <w:lang w:val="en-US" w:eastAsia="en-US" w:bidi="en-US"/>
        </w:rPr>
        <w:t xml:space="preserve">: A possibilidade de vedação de adesão existe, por exemplo, na hipótese do parágrafo único do art. 4º do Decreto: </w:t>
      </w:r>
    </w:p>
    <w:p>
      <w:r>
        <w:rPr>
          <w:rFonts w:ascii="Liberation Serif" w:hAnsi="Liberation Serif" w:eastAsia="Segoe UI"/>
          <w:lang w:val="en-US" w:eastAsia="en-US" w:bidi="en-US"/>
        </w:rPr>
        <w:t>"Art. 4º  É permitido o registro de preços com indicação limitada a unidades de contratação, sem indicação do total a ser adquirido, apenas nas seguintes situações:</w:t>
      </w:r>
    </w:p>
    <w:p>
      <w:r>
        <w:rPr>
          <w:rFonts w:ascii="Liberation Serif" w:hAnsi="Liberation Serif" w:eastAsia="Segoe UI"/>
          <w:lang w:val="en-US" w:eastAsia="en-US" w:bidi="en-US"/>
        </w:rPr>
        <w:t>I - quando for a primeira licitação ou contratação direta para o objeto e o órgão ou a entidade não tiver registro de demandas anteriores;</w:t>
      </w:r>
    </w:p>
    <w:p>
      <w:r>
        <w:rPr>
          <w:rFonts w:ascii="Liberation Serif" w:hAnsi="Liberation Serif" w:eastAsia="Segoe UI"/>
          <w:lang w:val="en-US" w:eastAsia="en-US" w:bidi="en-US"/>
        </w:rPr>
        <w:t>II - no caso de alimento perecível; ou</w:t>
      </w:r>
    </w:p>
    <w:p>
      <w:r>
        <w:rPr>
          <w:rFonts w:ascii="Liberation Serif" w:hAnsi="Liberation Serif" w:eastAsia="Segoe UI"/>
          <w:lang w:val="en-US" w:eastAsia="en-US" w:bidi="en-US"/>
        </w:rPr>
        <w:t>III - no caso em que o serviço estiver integrado ao fornecimento de bens.</w:t>
      </w:r>
    </w:p>
    <w:p>
      <w:r>
        <w:rPr>
          <w:rFonts w:ascii="Liberation Serif" w:hAnsi="Liberation Serif" w:eastAsia="Segoe UI"/>
          <w:lang w:val="en-US" w:eastAsia="en-US" w:bidi="en-US"/>
        </w:rPr>
        <w:t>Parágrafo único.  Nas situações referidas no caput, é obrigatória a indicação do valor máximo da despesa e é vedada a participação de outro órgão ou entidade na ata."</w:t>
      </w:r>
    </w:p>
    <w:p>
      <w:r>
        <w:rPr>
          <w:rFonts w:ascii="Liberation Serif" w:hAnsi="Liberation Serif" w:eastAsia="Segoe UI"/>
          <w:lang w:val="en-US" w:eastAsia="en-US" w:bidi="en-US"/>
        </w:rPr>
      </w:r>
    </w:p>
    <w:p>
      <w:r>
        <w:rPr>
          <w:rFonts w:ascii="Liberation Serif" w:hAnsi="Liberation Serif" w:eastAsia="Segoe UI"/>
          <w:lang w:val="en-US" w:eastAsia="en-US" w:bidi="en-US"/>
        </w:rP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>
      <w:r>
        <w:rPr>
          <w:rFonts w:ascii="Liberation Serif" w:hAnsi="Liberation Serif" w:eastAsia="Segoe UI"/>
          <w:lang w:val="en-US" w:eastAsia="en-US" w:bidi="en-US"/>
        </w:rPr>
        <w:t>I - realizar procedimento público de intenção de registro de preços - IRP e, quando for o caso, estabelecer o número máximo de participantes, em conformidade com sua capacidade de gerenciamento;</w:t>
      </w:r>
    </w:p>
    <w:p>
      <w:r>
        <w:rPr>
          <w:rFonts w:ascii="Liberation Serif" w:hAnsi="Liberation Serif" w:eastAsia="Segoe UI"/>
          <w:lang w:val="en-US" w:eastAsia="en-US" w:bidi="en-US"/>
        </w:rPr>
        <w:t>[...]</w:t>
      </w:r>
    </w:p>
    <w:p>
      <w:r>
        <w:rPr>
          <w:rFonts w:ascii="Liberation Serif" w:hAnsi="Liberation Serif" w:eastAsia="Segoe UI"/>
          <w:lang w:val="en-US" w:eastAsia="en-US" w:bidi="en-US"/>
        </w:rPr>
        <w:t>XI - deliberar quanto à adesão posterior de órgãos e entidades que não tenham manifestado interesse durante o período de divulgação da IRP;"</w:t>
      </w:r>
    </w:p>
    <w:p>
      <w:r>
        <w:rPr>
          <w:rFonts w:ascii="Liberation Serif" w:hAnsi="Liberation Serif" w:eastAsia="Segoe UI"/>
          <w:lang w:val="en-US" w:eastAsia="en-US" w:bidi="en-US"/>
        </w:rPr>
      </w:r>
    </w:p>
    <w:p>
      <w:r>
        <w:rPr>
          <w:rFonts w:ascii="Liberation Serif" w:hAnsi="Liberation Serif" w:eastAsia="Segoe UI"/>
          <w:lang w:val="en-US" w:eastAsia="en-US" w:bidi="en-US"/>
        </w:rPr>
        <w:t>Assim, desde que devidamente justificado nos Estudos Técnicos Preliminares, poderá ser vedada a adesão, de forma prévia, a órgãos não-participantes.</w:t>
      </w:r>
    </w:p>
  </w:comment>
  <w:comment w:id="6" w:author="Autor" w:date="0-00-00T00:00:00Z" w:initials="A">
    <w:p>
      <w:r>
        <w:rPr>
          <w:rFonts w:ascii="Liberation Serif" w:hAnsi="Liberation Serif" w:eastAsia="Segoe UI"/>
          <w:b/>
          <w:lang w:val="en-US" w:eastAsia="en-US" w:bidi="en-US"/>
        </w:rPr>
        <w:t>Nota Explicativa</w:t>
      </w:r>
      <w:r>
        <w:rPr>
          <w:rFonts w:ascii="Liberation Serif" w:hAnsi="Liberation Serif" w:eastAsia="Segoe UI"/>
          <w:lang w:val="en-US" w:eastAsia="en-US" w:bidi="en-US"/>
        </w:rPr>
        <w:t>: O artigo 84 da Lei 14.133 fixa o prazo de 1 (um) ano para a ata de registro de preços, admitindo a prorrogação por igual período.</w:t>
      </w:r>
    </w:p>
  </w:comment>
  <w:comment w:id="7" w:author="Autor" w:date="0-00-00T00:00:00Z" w:initials="A">
    <w:p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Restringindo-se o reequilíbrio a alguns itens fornecidos em circunstâncias específicas, a ata poderá prever preços distintos na forma do artigo 82, III, da Lei nº 14.133, de 2021.</w:t>
      </w:r>
    </w:p>
  </w:comment>
  <w:comment w:id="8" w:author="Autor" w:date="0-00-00T00:00:00Z" w:initials="A">
    <w:p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O §3º do art. 28 do Decreto nº 11.462/2023,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9" w:author="Autor" w:date="0-00-00T00:00:00Z" w:initials="A">
    <w:p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A possibilidade de remanejamento está prevista no art. 30 do Decreto nº 11.462/2023</w:t>
      </w:r>
    </w:p>
  </w:comment>
  <w:comment w:id="10" w:author="Autor" w:date="0-00-00T00:00:00Z" w:initials="A">
    <w:p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Art. 32. </w:t>
      </w:r>
      <w:r>
        <w:rPr>
          <w:rFonts w:ascii="Liberation Serif" w:hAnsi="Liberation Serif" w:eastAsia="Segoe UI"/>
          <w:color w:val="000000"/>
          <w:lang w:val="en-US" w:eastAsia="en-US" w:bidi="en-US"/>
        </w:rPr>
        <w:t> Serão observadas as seguintes regras de controle para a adesão à ata de registro de preços de que trata o art. 31:</w:t>
      </w:r>
    </w:p>
    <w:p>
      <w:r>
        <w:rPr>
          <w:rFonts w:ascii="Liberation Serif" w:hAnsi="Liberation Serif" w:eastAsia="Segoe UI"/>
          <w:color w:val="000000"/>
          <w:lang w:val="en-US" w:eastAsia="en-US" w:bidi="en-US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>
      <w:r>
        <w:rPr>
          <w:rFonts w:ascii="Liberation Serif" w:hAnsi="Liberation Serif" w:eastAsia="Segoe UI"/>
          <w:color w:val="000000"/>
          <w:lang w:val="en-US" w:eastAsia="en-US" w:bidi="en-US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11" w:author="Autor" w:date="0-00-00T00:00:00Z" w:initials="A">
    <w:p>
      <w:r>
        <w:rPr>
          <w:rFonts w:ascii="Liberation Serif" w:hAnsi="Liberation Serif" w:eastAsia="Segoe UI"/>
          <w:b/>
          <w:lang w:val="en-US" w:eastAsia="en-US" w:bidi="en-US"/>
        </w:rPr>
        <w:t xml:space="preserve">Nota Explicativa: </w:t>
      </w:r>
      <w:r>
        <w:rPr>
          <w:rFonts w:ascii="Liberation Serif" w:hAnsi="Liberation Serif" w:eastAsia="Segoe UI"/>
          <w:lang w:val="en-US" w:eastAsia="en-US" w:bidi="en-US"/>
        </w:rPr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>
      <w:r>
        <w:rPr>
          <w:rFonts w:ascii="Liberation Serif" w:hAnsi="Liberation Serif" w:eastAsia="Segoe UI"/>
          <w:lang w:val="en-US" w:eastAsia="en-US" w:bidi="en-US"/>
        </w:rPr>
        <w:t>§ 5º A regra do § 4º não se aplicará aos licitantes remanescentes convocados na forma do inciso I do § 3º."</w:t>
      </w:r>
    </w:p>
  </w:comment>
  <w:comment w:id="12" w:author="Autor" w:date="0-00-00T00:00:00Z" w:initials="A">
    <w:p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>
      <w:r>
        <w:rPr>
          <w:rFonts w:ascii="Liberation Serif" w:hAnsi="Liberation Serif" w:eastAsia="Segoe UI"/>
          <w:lang w:val="en-US" w:eastAsia="en-US" w:bidi="en-US"/>
        </w:rP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link w:val="GradeColorida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LinkdaInternet">
    <w:name w:val="Hyperlink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link w:val="Nvel2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link w:val="Nvel3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GradeColoridanfase11" w:customStyle="1">
    <w:name w:val="Grade Colorida - Ênfase 11"/>
    <w:basedOn w:val="Normal"/>
    <w:next w:val="Normal"/>
    <w:link w:val="GradeColorida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1"/>
        <w:numId w:val="1"/>
      </w:num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link w:val="Nvel2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 w:hanging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link w:val="Nvel3RChar"/>
    <w:qFormat/>
    <w:rsid w:val="00b73e47"/>
    <w:pPr>
      <w:numPr>
        <w:ilvl w:val="2"/>
        <w:numId w:val="1"/>
      </w:num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comments" Target="comment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Application>LibreOffice/7.4.3.2$Windows_X86_64 LibreOffice_project/1048a8393ae2eeec98dff31b5c133c5f1d08b890</Application>
  <AppVersion>15.0000</AppVersion>
  <Pages>8</Pages>
  <Words>2877</Words>
  <Characters>15900</Characters>
  <CharactersWithSpaces>18554</CharactersWithSpaces>
  <Paragraphs>155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2024-04-24T09:54:39Z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